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54" w:rsidRPr="00FA76C8" w:rsidRDefault="00CE7254" w:rsidP="00CE7254">
      <w:pPr>
        <w:pStyle w:val="Overskrift1"/>
        <w:jc w:val="center"/>
        <w:rPr>
          <w:sz w:val="24"/>
          <w:szCs w:val="24"/>
        </w:rPr>
      </w:pPr>
      <w:r w:rsidRPr="00FA76C8">
        <w:rPr>
          <w:sz w:val="24"/>
          <w:szCs w:val="24"/>
        </w:rPr>
        <w:t>Aktivitet for barn- og unge i Adventistkirken ________</w:t>
      </w:r>
      <w:r w:rsidRPr="00FA76C8">
        <w:rPr>
          <w:sz w:val="24"/>
          <w:szCs w:val="24"/>
        </w:rPr>
        <w:br/>
        <w:t>Rutinebeskrivelse og sjekkliste</w:t>
      </w:r>
    </w:p>
    <w:p w:rsidR="00CE7254" w:rsidRPr="00FA76C8" w:rsidRDefault="00CE7254" w:rsidP="00EB6EA2">
      <w:pPr>
        <w:pStyle w:val="Overskrift1"/>
        <w:jc w:val="center"/>
        <w:rPr>
          <w:sz w:val="24"/>
          <w:szCs w:val="24"/>
        </w:rPr>
      </w:pPr>
      <w:r w:rsidRPr="00FA76C8">
        <w:rPr>
          <w:sz w:val="24"/>
          <w:szCs w:val="24"/>
        </w:rPr>
        <w:t>For hver aktivitet/hvert arrangement som gjennomføres skal det</w:t>
      </w:r>
      <w:r w:rsidR="00FA76C8" w:rsidRPr="00FA76C8">
        <w:rPr>
          <w:sz w:val="24"/>
          <w:szCs w:val="24"/>
        </w:rPr>
        <w:t>te</w:t>
      </w:r>
      <w:r w:rsidRPr="00FA76C8">
        <w:rPr>
          <w:sz w:val="24"/>
          <w:szCs w:val="24"/>
        </w:rPr>
        <w:t xml:space="preserve"> skjemaet under fylles ut og leveres til _________________________________</w:t>
      </w:r>
    </w:p>
    <w:p w:rsidR="00CE7254" w:rsidRPr="00FA76C8" w:rsidRDefault="00CE7254" w:rsidP="00CE7254">
      <w:pPr>
        <w:pStyle w:val="Undertittel"/>
        <w:rPr>
          <w:sz w:val="21"/>
          <w:szCs w:val="21"/>
        </w:rPr>
      </w:pPr>
      <w:r w:rsidRPr="00FA76C8">
        <w:rPr>
          <w:sz w:val="21"/>
          <w:szCs w:val="21"/>
        </w:rPr>
        <w:t>Generelt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7796"/>
      </w:tblGrid>
      <w:tr w:rsidR="00CE7254" w:rsidRPr="00FA76C8" w:rsidTr="00DA49C0">
        <w:tc>
          <w:tcPr>
            <w:tcW w:w="2405" w:type="dxa"/>
            <w:shd w:val="clear" w:color="auto" w:fill="D9D9D9" w:themeFill="background1" w:themeFillShade="D9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Arrangement</w:t>
            </w:r>
          </w:p>
        </w:tc>
        <w:tc>
          <w:tcPr>
            <w:tcW w:w="7796" w:type="dxa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CE7254" w:rsidRPr="00FA76C8" w:rsidTr="00DA49C0">
        <w:tc>
          <w:tcPr>
            <w:tcW w:w="2405" w:type="dxa"/>
            <w:shd w:val="clear" w:color="auto" w:fill="D9D9D9" w:themeFill="background1" w:themeFillShade="D9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Dato</w:t>
            </w:r>
          </w:p>
        </w:tc>
        <w:tc>
          <w:tcPr>
            <w:tcW w:w="7796" w:type="dxa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CE7254" w:rsidRPr="00FA76C8" w:rsidTr="00DA49C0">
        <w:tc>
          <w:tcPr>
            <w:tcW w:w="2405" w:type="dxa"/>
            <w:shd w:val="clear" w:color="auto" w:fill="D9D9D9" w:themeFill="background1" w:themeFillShade="D9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Ansvarlig arrangør</w:t>
            </w:r>
          </w:p>
        </w:tc>
        <w:tc>
          <w:tcPr>
            <w:tcW w:w="7796" w:type="dxa"/>
          </w:tcPr>
          <w:p w:rsidR="00CE7254" w:rsidRPr="00FA76C8" w:rsidRDefault="00CE7254" w:rsidP="00CE7254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DA49C0" w:rsidRPr="00FA76C8" w:rsidRDefault="00EB6EA2">
      <w:pPr>
        <w:rPr>
          <w:sz w:val="21"/>
          <w:szCs w:val="21"/>
        </w:rPr>
      </w:pPr>
      <w:r w:rsidRPr="00FA76C8">
        <w:rPr>
          <w:sz w:val="21"/>
          <w:szCs w:val="21"/>
        </w:rPr>
        <w:br/>
        <w:t>Unngå nærkontakt, det skal være minimum en meter avstan</w:t>
      </w:r>
      <w:r w:rsidR="004707F1" w:rsidRPr="00FA76C8">
        <w:rPr>
          <w:sz w:val="21"/>
          <w:szCs w:val="21"/>
        </w:rPr>
        <w:t>d mellom personer. Det er viktig</w:t>
      </w:r>
      <w:r w:rsidRPr="00FA76C8">
        <w:rPr>
          <w:sz w:val="21"/>
          <w:szCs w:val="21"/>
        </w:rPr>
        <w:t xml:space="preserve"> å ha nok voksne tilstede for å kunne gjennomføre aktiviteten på en trygg og forsvarlig måte. Begrens gruppestørrelsen. </w:t>
      </w:r>
      <w:r w:rsidR="00DA49C0" w:rsidRPr="00FA76C8">
        <w:rPr>
          <w:sz w:val="21"/>
          <w:szCs w:val="21"/>
        </w:rPr>
        <w:t>Unngå fellesmåltider. Dersom det er behov for servering tas dette med hjemmefra, for eksempel egen matpakke og drikke.</w:t>
      </w:r>
      <w:r w:rsidRPr="00FA76C8">
        <w:rPr>
          <w:sz w:val="21"/>
          <w:szCs w:val="21"/>
        </w:rPr>
        <w:t xml:space="preserve"> Læremateriell som bøker, bibel og skrivesaker tas med hjemmefra. Barn skal ikke dele felles utstyr som for eksempel puslespill, sakser og </w:t>
      </w:r>
      <w:proofErr w:type="spellStart"/>
      <w:r w:rsidRPr="00FA76C8">
        <w:rPr>
          <w:sz w:val="21"/>
          <w:szCs w:val="21"/>
        </w:rPr>
        <w:t>limstifter</w:t>
      </w:r>
      <w:proofErr w:type="spellEnd"/>
      <w:r w:rsidRPr="00FA76C8">
        <w:rPr>
          <w:sz w:val="21"/>
          <w:szCs w:val="21"/>
        </w:rPr>
        <w:t>.</w:t>
      </w:r>
      <w:r w:rsidR="00182E85" w:rsidRPr="00FA76C8">
        <w:rPr>
          <w:sz w:val="21"/>
          <w:szCs w:val="21"/>
        </w:rPr>
        <w:t xml:space="preserve"> </w:t>
      </w:r>
      <w:r w:rsidR="004707F1" w:rsidRPr="00FA76C8">
        <w:rPr>
          <w:sz w:val="21"/>
          <w:szCs w:val="21"/>
        </w:rPr>
        <w:t xml:space="preserve">Det er et alternativ at kirka lager en personlig boks/pose med utstyr til hvert enkelt barn. </w:t>
      </w:r>
      <w:r w:rsidR="00182E85" w:rsidRPr="00FA76C8">
        <w:rPr>
          <w:sz w:val="21"/>
          <w:szCs w:val="21"/>
        </w:rPr>
        <w:t>Barn med symptomer isoleres sammen med en voksen på et eget rom eller ute, til de blir hentet av foreldrene.</w:t>
      </w:r>
    </w:p>
    <w:p w:rsidR="00DA49C0" w:rsidRPr="00FA76C8" w:rsidRDefault="00DA49C0" w:rsidP="00FA76C8">
      <w:pPr>
        <w:rPr>
          <w:b/>
          <w:sz w:val="21"/>
          <w:szCs w:val="21"/>
        </w:rPr>
      </w:pPr>
      <w:r w:rsidRPr="00FA76C8">
        <w:rPr>
          <w:b/>
          <w:sz w:val="21"/>
          <w:szCs w:val="21"/>
        </w:rPr>
        <w:t>Sjekkpunkter, hygiene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9776"/>
        <w:gridCol w:w="992"/>
      </w:tblGrid>
      <w:tr w:rsidR="00CE7254" w:rsidRPr="00FA76C8" w:rsidTr="00FA76C8">
        <w:tc>
          <w:tcPr>
            <w:tcW w:w="9776" w:type="dxa"/>
            <w:shd w:val="clear" w:color="auto" w:fill="D9D9D9" w:themeFill="background1" w:themeFillShade="D9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E7254" w:rsidRPr="00FA76C8" w:rsidRDefault="000469D2" w:rsidP="00CE7254">
            <w:pPr>
              <w:rPr>
                <w:sz w:val="21"/>
                <w:szCs w:val="21"/>
              </w:rPr>
            </w:pPr>
            <w:proofErr w:type="spellStart"/>
            <w:r w:rsidRPr="00FA76C8">
              <w:rPr>
                <w:sz w:val="21"/>
                <w:szCs w:val="21"/>
              </w:rPr>
              <w:t>Sign</w:t>
            </w:r>
            <w:proofErr w:type="spellEnd"/>
          </w:p>
        </w:tc>
      </w:tr>
      <w:tr w:rsidR="00EB6EA2" w:rsidRPr="00FA76C8" w:rsidTr="00FA76C8">
        <w:tc>
          <w:tcPr>
            <w:tcW w:w="9776" w:type="dxa"/>
            <w:shd w:val="clear" w:color="auto" w:fill="FFFFFF" w:themeFill="background1"/>
          </w:tcPr>
          <w:p w:rsidR="00EB6EA2" w:rsidRPr="00FA76C8" w:rsidRDefault="00EB6EA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Lokalet er klargjort på forhånd. Felles rigging under en samling må unngås. Om mulig skal rommet deles inn i soner, slik at det er lettere  og holde avstand.</w:t>
            </w:r>
          </w:p>
        </w:tc>
        <w:tc>
          <w:tcPr>
            <w:tcW w:w="992" w:type="dxa"/>
            <w:shd w:val="clear" w:color="auto" w:fill="FFFFFF" w:themeFill="background1"/>
          </w:tcPr>
          <w:p w:rsidR="00EB6EA2" w:rsidRPr="00FA76C8" w:rsidRDefault="00EB6EA2" w:rsidP="00CE7254">
            <w:pPr>
              <w:rPr>
                <w:sz w:val="21"/>
                <w:szCs w:val="21"/>
              </w:rPr>
            </w:pPr>
          </w:p>
        </w:tc>
      </w:tr>
      <w:tr w:rsidR="00CE7254" w:rsidRPr="00FA76C8" w:rsidTr="00FA76C8">
        <w:tc>
          <w:tcPr>
            <w:tcW w:w="9776" w:type="dxa"/>
            <w:shd w:val="clear" w:color="auto" w:fill="FFFFFF" w:themeFill="background1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Alle som deltar på aktiviteten er registrert med navn og kontaktinformasjon, etter nærmere beskrivelse gitt av leder i kirken. Listen skal oppbevares i 14 dager etter aktiviteten er gjennomført og deretter slettes.</w:t>
            </w:r>
          </w:p>
        </w:tc>
        <w:tc>
          <w:tcPr>
            <w:tcW w:w="992" w:type="dxa"/>
            <w:shd w:val="clear" w:color="auto" w:fill="FFFFFF" w:themeFill="background1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</w:p>
        </w:tc>
      </w:tr>
      <w:tr w:rsidR="00CE7254" w:rsidRPr="00FA76C8" w:rsidTr="00FA76C8">
        <w:tc>
          <w:tcPr>
            <w:tcW w:w="9776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Det er gitt tydelig beskj</w:t>
            </w:r>
            <w:bookmarkStart w:id="0" w:name="_GoBack"/>
            <w:bookmarkEnd w:id="0"/>
            <w:r w:rsidRPr="00FA76C8">
              <w:rPr>
                <w:sz w:val="21"/>
                <w:szCs w:val="21"/>
              </w:rPr>
              <w:t xml:space="preserve">ed via hjemmesider, på plakater og ved ankomst om at alle som kan være korona-syke har symptomer på luftveisinfeksjon </w:t>
            </w:r>
            <w:r w:rsidR="004707F1" w:rsidRPr="00FA76C8">
              <w:rPr>
                <w:sz w:val="21"/>
                <w:szCs w:val="21"/>
              </w:rPr>
              <w:t xml:space="preserve">(selv ved lette symptomer) </w:t>
            </w:r>
            <w:r w:rsidRPr="00FA76C8">
              <w:rPr>
                <w:sz w:val="21"/>
                <w:szCs w:val="21"/>
              </w:rPr>
              <w:t>eller er i karantene, ikke kan delta i kirkens  barne- og ungdomsarbeid.</w:t>
            </w:r>
          </w:p>
        </w:tc>
        <w:tc>
          <w:tcPr>
            <w:tcW w:w="992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</w:p>
        </w:tc>
      </w:tr>
      <w:tr w:rsidR="00DA49C0" w:rsidRPr="00FA76C8" w:rsidTr="00FA76C8">
        <w:tc>
          <w:tcPr>
            <w:tcW w:w="9776" w:type="dxa"/>
          </w:tcPr>
          <w:p w:rsidR="00DA49C0" w:rsidRPr="00FA76C8" w:rsidRDefault="004707F1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Barn og unge har fått tilpasset og god informasjon om smitteverntiltak de må følge, f. eks i form av plakater med tegninger og enkle tekster. I</w:t>
            </w:r>
            <w:r w:rsidR="00DA49C0" w:rsidRPr="00FA76C8">
              <w:rPr>
                <w:sz w:val="21"/>
                <w:szCs w:val="21"/>
              </w:rPr>
              <w:t xml:space="preserve"> det aktiviteten starter opp, gis det beskjed om at når man hoster eller nyser skal albuekroken benyttes og at dersom man hoster eller nyser skal hendene vaskes.</w:t>
            </w:r>
          </w:p>
        </w:tc>
        <w:tc>
          <w:tcPr>
            <w:tcW w:w="992" w:type="dxa"/>
          </w:tcPr>
          <w:p w:rsidR="00DA49C0" w:rsidRPr="00FA76C8" w:rsidRDefault="00DA49C0" w:rsidP="00CE7254">
            <w:pPr>
              <w:rPr>
                <w:sz w:val="21"/>
                <w:szCs w:val="21"/>
              </w:rPr>
            </w:pPr>
          </w:p>
        </w:tc>
      </w:tr>
      <w:tr w:rsidR="00CE7254" w:rsidRPr="00FA76C8" w:rsidTr="00FA76C8">
        <w:tc>
          <w:tcPr>
            <w:tcW w:w="9776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Det er gitt tydelig beskjed via hjemmeside, på plakater og ved ankomst om at deltakere som utvikler symptomer innen 1-2 dager skal gi beskjed til ansvarlig arrangør.</w:t>
            </w:r>
          </w:p>
        </w:tc>
        <w:tc>
          <w:tcPr>
            <w:tcW w:w="992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</w:p>
        </w:tc>
      </w:tr>
      <w:tr w:rsidR="00CE7254" w:rsidRPr="00FA76C8" w:rsidTr="00FA76C8">
        <w:tc>
          <w:tcPr>
            <w:tcW w:w="9776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 xml:space="preserve">Ved ankomst har barn- eller unge vaske hender med vann og såpe og tørket dem med papirhåndklær. Hvis håndvask ikke er </w:t>
            </w:r>
            <w:r w:rsidR="00DA49C0" w:rsidRPr="00FA76C8">
              <w:rPr>
                <w:sz w:val="21"/>
                <w:szCs w:val="21"/>
              </w:rPr>
              <w:t>mulig har barn- eller unge</w:t>
            </w:r>
            <w:r w:rsidR="004707F1" w:rsidRPr="00FA76C8">
              <w:rPr>
                <w:sz w:val="21"/>
                <w:szCs w:val="21"/>
              </w:rPr>
              <w:t xml:space="preserve"> brukt våtservietter og hånddesinfeksjon.</w:t>
            </w:r>
            <w:r w:rsidR="00DA49C0" w:rsidRPr="00FA76C8">
              <w:rPr>
                <w:sz w:val="21"/>
                <w:szCs w:val="21"/>
              </w:rPr>
              <w:t xml:space="preserve"> Håndvask for barn under skolealder skjedde med voksen tilstede.</w:t>
            </w:r>
          </w:p>
        </w:tc>
        <w:tc>
          <w:tcPr>
            <w:tcW w:w="992" w:type="dxa"/>
          </w:tcPr>
          <w:p w:rsidR="00CE7254" w:rsidRPr="00FA76C8" w:rsidRDefault="00CE7254" w:rsidP="00CE7254">
            <w:pPr>
              <w:rPr>
                <w:sz w:val="21"/>
                <w:szCs w:val="21"/>
              </w:rPr>
            </w:pPr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4707F1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Hånddesinfeksjon</w:t>
            </w:r>
            <w:r w:rsidR="000469D2" w:rsidRPr="00FA76C8">
              <w:rPr>
                <w:sz w:val="21"/>
                <w:szCs w:val="21"/>
              </w:rPr>
              <w:t xml:space="preserve"> skal alltid være tilstede.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</w:tbl>
    <w:p w:rsidR="000469D2" w:rsidRPr="00FA76C8" w:rsidRDefault="000469D2" w:rsidP="000469D2">
      <w:pPr>
        <w:rPr>
          <w:b/>
          <w:sz w:val="21"/>
          <w:szCs w:val="21"/>
        </w:rPr>
      </w:pPr>
      <w:r w:rsidRPr="00FA76C8">
        <w:rPr>
          <w:b/>
          <w:sz w:val="21"/>
          <w:szCs w:val="21"/>
        </w:rPr>
        <w:t>Sjekkpunkter, renhold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9776"/>
        <w:gridCol w:w="992"/>
      </w:tblGrid>
      <w:tr w:rsidR="000469D2" w:rsidRPr="00FA76C8" w:rsidTr="00FA76C8">
        <w:tc>
          <w:tcPr>
            <w:tcW w:w="9776" w:type="dxa"/>
            <w:shd w:val="clear" w:color="auto" w:fill="D9D9D9" w:themeFill="background1" w:themeFillShade="D9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proofErr w:type="spellStart"/>
            <w:r w:rsidRPr="00FA76C8">
              <w:rPr>
                <w:sz w:val="21"/>
                <w:szCs w:val="21"/>
              </w:rPr>
              <w:t>Sign</w:t>
            </w:r>
            <w:proofErr w:type="spellEnd"/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Renholdsrutiner er hengt opp i alle rom som benyttes.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Kirkens toaletter er rengjøres før og etter en samling</w:t>
            </w:r>
            <w:r w:rsidR="004707F1" w:rsidRPr="00FA76C8">
              <w:rPr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 xml:space="preserve">Vaskeservanter, dørhåndtak, </w:t>
            </w:r>
            <w:proofErr w:type="spellStart"/>
            <w:r w:rsidRPr="00FA76C8">
              <w:rPr>
                <w:sz w:val="21"/>
                <w:szCs w:val="21"/>
              </w:rPr>
              <w:t>trappegelendere</w:t>
            </w:r>
            <w:proofErr w:type="spellEnd"/>
            <w:r w:rsidRPr="00FA76C8">
              <w:rPr>
                <w:sz w:val="21"/>
                <w:szCs w:val="21"/>
              </w:rPr>
              <w:t xml:space="preserve"> og andre gjenstander og kontaktflater som hyppig berøres, må </w:t>
            </w:r>
            <w:r w:rsidR="00EB6EA2" w:rsidRPr="00FA76C8">
              <w:rPr>
                <w:sz w:val="21"/>
                <w:szCs w:val="21"/>
              </w:rPr>
              <w:t>rengjøres</w:t>
            </w:r>
            <w:r w:rsidRPr="00FA76C8">
              <w:rPr>
                <w:sz w:val="21"/>
                <w:szCs w:val="21"/>
              </w:rPr>
              <w:t xml:space="preserve"> etter en samling. Etanolbaserte desinfeksjonsmidler kan brukes på ellers rene flater</w:t>
            </w:r>
            <w:r w:rsidR="004707F1" w:rsidRPr="00FA76C8">
              <w:rPr>
                <w:sz w:val="21"/>
                <w:szCs w:val="21"/>
              </w:rPr>
              <w:t xml:space="preserve"> (må inneholde minst 70% alkohol)</w:t>
            </w:r>
            <w:r w:rsidRPr="00FA76C8">
              <w:rPr>
                <w:sz w:val="21"/>
                <w:szCs w:val="21"/>
              </w:rPr>
              <w:t xml:space="preserve">, men vær oppmerksom på at dette ikke er tilstrekkelig ved synlig skitne overflater. Synlig skitne overflater må derfor rengjøres før eventuell bruk av </w:t>
            </w:r>
            <w:r w:rsidR="00EB6EA2" w:rsidRPr="00FA76C8">
              <w:rPr>
                <w:sz w:val="21"/>
                <w:szCs w:val="21"/>
              </w:rPr>
              <w:t>desinfeksjonsmidler</w:t>
            </w:r>
            <w:r w:rsidRPr="00FA76C8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Utstyr</w:t>
            </w:r>
            <w:r w:rsidR="004707F1" w:rsidRPr="00FA76C8">
              <w:rPr>
                <w:sz w:val="21"/>
                <w:szCs w:val="21"/>
              </w:rPr>
              <w:t>, gjenstander og overflater</w:t>
            </w:r>
            <w:r w:rsidRPr="00FA76C8">
              <w:rPr>
                <w:sz w:val="21"/>
                <w:szCs w:val="21"/>
              </w:rPr>
              <w:t xml:space="preserve"> som er brukt rengjøres for neste bruk.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  <w:tr w:rsidR="000469D2" w:rsidRPr="00FA76C8" w:rsidTr="00FA76C8">
        <w:tc>
          <w:tcPr>
            <w:tcW w:w="9776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  <w:r w:rsidRPr="00FA76C8">
              <w:rPr>
                <w:sz w:val="21"/>
                <w:szCs w:val="21"/>
              </w:rPr>
              <w:t>Vær ekstra oppmerksom på rom som kjøkken/</w:t>
            </w:r>
            <w:r w:rsidR="00EB6EA2" w:rsidRPr="00FA76C8">
              <w:rPr>
                <w:sz w:val="21"/>
                <w:szCs w:val="21"/>
              </w:rPr>
              <w:t>spiserom</w:t>
            </w:r>
            <w:r w:rsidRPr="00FA76C8">
              <w:rPr>
                <w:sz w:val="21"/>
                <w:szCs w:val="21"/>
              </w:rPr>
              <w:t>. Grundig håndvask må utføres før man benytter kjøkken/spiserom og/eller spiser.</w:t>
            </w:r>
          </w:p>
        </w:tc>
        <w:tc>
          <w:tcPr>
            <w:tcW w:w="992" w:type="dxa"/>
          </w:tcPr>
          <w:p w:rsidR="000469D2" w:rsidRPr="00FA76C8" w:rsidRDefault="000469D2" w:rsidP="00CE7254">
            <w:pPr>
              <w:rPr>
                <w:sz w:val="21"/>
                <w:szCs w:val="21"/>
              </w:rPr>
            </w:pPr>
          </w:p>
        </w:tc>
      </w:tr>
    </w:tbl>
    <w:p w:rsidR="000469D2" w:rsidRDefault="000469D2" w:rsidP="00CE7254"/>
    <w:p w:rsidR="00DA49C0" w:rsidRPr="00CE7254" w:rsidRDefault="00DA49C0" w:rsidP="00CE7254"/>
    <w:sectPr w:rsidR="00DA49C0" w:rsidRPr="00CE7254" w:rsidSect="00DA49C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72" w:rsidRDefault="00400C72" w:rsidP="00DA49C0">
      <w:pPr>
        <w:spacing w:after="0" w:line="240" w:lineRule="auto"/>
      </w:pPr>
      <w:r>
        <w:separator/>
      </w:r>
    </w:p>
  </w:endnote>
  <w:endnote w:type="continuationSeparator" w:id="0">
    <w:p w:rsidR="00400C72" w:rsidRDefault="00400C72" w:rsidP="00DA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72" w:rsidRDefault="00400C72" w:rsidP="00DA49C0">
      <w:pPr>
        <w:spacing w:after="0" w:line="240" w:lineRule="auto"/>
      </w:pPr>
      <w:r>
        <w:separator/>
      </w:r>
    </w:p>
  </w:footnote>
  <w:footnote w:type="continuationSeparator" w:id="0">
    <w:p w:rsidR="00400C72" w:rsidRDefault="00400C72" w:rsidP="00DA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C0" w:rsidRDefault="00DA49C0" w:rsidP="00DA49C0">
    <w:pPr>
      <w:pStyle w:val="Topptekst"/>
      <w:jc w:val="center"/>
    </w:pPr>
    <w:r>
      <w:t xml:space="preserve">I den grad det er mulig oppfordres </w:t>
    </w:r>
    <w:r w:rsidR="00182E85">
      <w:t xml:space="preserve">det </w:t>
    </w:r>
    <w:r>
      <w:t>til utendørsaktiviteter.</w:t>
    </w:r>
    <w:r w:rsidR="00182E85">
      <w:t xml:space="preserve"> Det er kun tillatt med ar</w:t>
    </w:r>
    <w:r w:rsidR="004707F1">
      <w:t xml:space="preserve">rangementer opp til 50 personer, dette tallet inkluderer medvirkende. Lokalets størrelse overstyrer </w:t>
    </w:r>
    <w:r w:rsidR="00FA76C8">
      <w:t>maksimumtalet</w:t>
    </w:r>
    <w:r w:rsidR="004707F1">
      <w:t>.</w:t>
    </w:r>
  </w:p>
  <w:p w:rsidR="00DA49C0" w:rsidRDefault="00DA49C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54"/>
    <w:rsid w:val="000469D2"/>
    <w:rsid w:val="00062350"/>
    <w:rsid w:val="00182E85"/>
    <w:rsid w:val="00400C72"/>
    <w:rsid w:val="004707F1"/>
    <w:rsid w:val="004D2852"/>
    <w:rsid w:val="006A1DB3"/>
    <w:rsid w:val="00CE7254"/>
    <w:rsid w:val="00D41E0E"/>
    <w:rsid w:val="00DA49C0"/>
    <w:rsid w:val="00EB6EA2"/>
    <w:rsid w:val="00FA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C23E"/>
  <w15:chartTrackingRefBased/>
  <w15:docId w15:val="{37EBFE76-46A7-47CB-A76E-BB039C1E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254"/>
  </w:style>
  <w:style w:type="paragraph" w:styleId="Overskrift1">
    <w:name w:val="heading 1"/>
    <w:basedOn w:val="Normal"/>
    <w:next w:val="Normal"/>
    <w:link w:val="Overskrift1Tegn"/>
    <w:uiPriority w:val="9"/>
    <w:qFormat/>
    <w:rsid w:val="00CE7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E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E7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CE7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72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7254"/>
    <w:rPr>
      <w:rFonts w:eastAsiaTheme="minorEastAsia"/>
      <w:color w:val="5A5A5A" w:themeColor="text1" w:themeTint="A5"/>
      <w:spacing w:val="15"/>
    </w:rPr>
  </w:style>
  <w:style w:type="paragraph" w:styleId="Topptekst">
    <w:name w:val="header"/>
    <w:basedOn w:val="Normal"/>
    <w:link w:val="TopptekstTegn"/>
    <w:uiPriority w:val="99"/>
    <w:unhideWhenUsed/>
    <w:rsid w:val="00DA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49C0"/>
  </w:style>
  <w:style w:type="paragraph" w:styleId="Bunntekst">
    <w:name w:val="footer"/>
    <w:basedOn w:val="Normal"/>
    <w:link w:val="BunntekstTegn"/>
    <w:uiPriority w:val="99"/>
    <w:unhideWhenUsed/>
    <w:rsid w:val="00DA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49C0"/>
  </w:style>
  <w:style w:type="paragraph" w:styleId="Bobletekst">
    <w:name w:val="Balloon Text"/>
    <w:basedOn w:val="Normal"/>
    <w:link w:val="BobletekstTegn"/>
    <w:uiPriority w:val="99"/>
    <w:semiHidden/>
    <w:unhideWhenUsed/>
    <w:rsid w:val="0018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Syvendedags Adventistkirken, Den norske union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Myrdal</dc:creator>
  <cp:keywords/>
  <dc:description/>
  <cp:lastModifiedBy>Nina Myrdal</cp:lastModifiedBy>
  <cp:revision>2</cp:revision>
  <cp:lastPrinted>2020-05-07T05:26:00Z</cp:lastPrinted>
  <dcterms:created xsi:type="dcterms:W3CDTF">2020-05-07T21:54:00Z</dcterms:created>
  <dcterms:modified xsi:type="dcterms:W3CDTF">2020-05-07T21:54:00Z</dcterms:modified>
</cp:coreProperties>
</file>